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9762B5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87404" w:rsidRDefault="00087404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2A">
        <w:rPr>
          <w:rFonts w:ascii="Times New Roman" w:hAnsi="Times New Roman" w:cs="Times New Roman"/>
          <w:b/>
          <w:sz w:val="24"/>
          <w:szCs w:val="24"/>
          <w:u w:val="single"/>
        </w:rPr>
        <w:t>Со следующего года планируют увеличить объем закупок у СМСП по Закону N 223-ФЗ</w:t>
      </w: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Минфин разработал проект постановления в поддержку СМСП. Среди прочего вырастет обязательная доля участия таких субъектов в закупках. Общий годовой объем закупок у них составит не менее 30% вместо 20%. При этом доля стоимости договоров с СМСП по результатам закупок, в которых могут участвовать только эти субъекты, вырастет до 20% вместо 18% (</w:t>
      </w:r>
      <w:proofErr w:type="spellStart"/>
      <w:r w:rsidRPr="004F442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F442A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4F44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F442A">
        <w:rPr>
          <w:rFonts w:ascii="Times New Roman" w:hAnsi="Times New Roman" w:cs="Times New Roman"/>
          <w:sz w:val="24"/>
          <w:szCs w:val="24"/>
        </w:rPr>
        <w:t>. "б" п. 1 проекта изменений).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Достигать минимума обяжут практически всех заказчиков по Закону N 223-ФЗ вместо отдельных категорий (</w:t>
      </w:r>
      <w:proofErr w:type="spellStart"/>
      <w:r w:rsidRPr="004F442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F442A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4F44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F442A">
        <w:rPr>
          <w:rFonts w:ascii="Times New Roman" w:hAnsi="Times New Roman" w:cs="Times New Roman"/>
          <w:sz w:val="24"/>
          <w:szCs w:val="24"/>
        </w:rPr>
        <w:t xml:space="preserve">. "б" п. 1 проекта изменений). Правила смогут не применять только </w:t>
      </w:r>
      <w:proofErr w:type="spellStart"/>
      <w:r w:rsidRPr="004F442A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4F442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4F44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442A">
        <w:rPr>
          <w:rFonts w:ascii="Times New Roman" w:hAnsi="Times New Roman" w:cs="Times New Roman"/>
          <w:sz w:val="24"/>
          <w:szCs w:val="24"/>
        </w:rPr>
        <w:t>. 2 ст. 1 этого Закона, если они СМСП (</w:t>
      </w:r>
      <w:proofErr w:type="spellStart"/>
      <w:r w:rsidRPr="004F44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F442A">
        <w:rPr>
          <w:rFonts w:ascii="Times New Roman" w:hAnsi="Times New Roman" w:cs="Times New Roman"/>
          <w:sz w:val="24"/>
          <w:szCs w:val="24"/>
        </w:rPr>
        <w:t>. "а" п. 1 проекта изменений).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Новшества могут заработать уже с 1 января 2022 года.</w:t>
      </w:r>
    </w:p>
    <w:p w:rsid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2A">
        <w:rPr>
          <w:rFonts w:ascii="Times New Roman" w:hAnsi="Times New Roman" w:cs="Times New Roman"/>
          <w:b/>
          <w:sz w:val="24"/>
          <w:szCs w:val="24"/>
          <w:u w:val="single"/>
        </w:rPr>
        <w:t>Госдума рассмотрит пакет изменений в НК РФ</w:t>
      </w: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 xml:space="preserve">Правительство внесло в Госдуму проект поправок к НК РФ по основным направлениям налоговой политики. Изменения </w:t>
      </w:r>
      <w:proofErr w:type="gramStart"/>
      <w:r w:rsidRPr="004F442A">
        <w:rPr>
          <w:rFonts w:ascii="Times New Roman" w:hAnsi="Times New Roman" w:cs="Times New Roman"/>
          <w:sz w:val="24"/>
          <w:szCs w:val="24"/>
        </w:rPr>
        <w:t>затрагивают</w:t>
      </w:r>
      <w:proofErr w:type="gramEnd"/>
      <w:r w:rsidRPr="004F442A">
        <w:rPr>
          <w:rFonts w:ascii="Times New Roman" w:hAnsi="Times New Roman" w:cs="Times New Roman"/>
          <w:sz w:val="24"/>
          <w:szCs w:val="24"/>
        </w:rPr>
        <w:t xml:space="preserve"> в том числе акцизы, амортизацию ОС при реконструкции, перенос убытков, НДФЛ при продаже недвижимости и уплату налогов организациями культуры. Рассмотрим основные положения.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42A">
        <w:rPr>
          <w:rFonts w:ascii="Times New Roman" w:hAnsi="Times New Roman" w:cs="Times New Roman"/>
          <w:b/>
          <w:i/>
          <w:sz w:val="24"/>
          <w:szCs w:val="24"/>
        </w:rPr>
        <w:t>Амортизация при реконструкции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Во-первых, предлагают уточнить, что при реконструкции первоначальная стоимость изменяется независимо от размера остаточной стоимости ОС (п. 18 ст. 1 проекта). Аналогичное правило сейчас действует при достройке, дооборудовании, модернизации, техническом перевооружении, частичной ликвидации и т.д.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Во-вторых, хотят скорректировать порядок амортизации для случая, когда в результате реконструкции, модернизации или технического перевооружения срок полезного использования ОС не увеличился (п. 19 ст. 1 проекта). В этой ситуации организация должна применять норму амортизации, которую определили по первоначально установленному сроку полезного использования. Минфин ранее говорил, что можно использовать старую норму амортизации.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 xml:space="preserve">Подробнее о налоговом учете при реконструкции и модернизации ОС </w:t>
      </w:r>
      <w:proofErr w:type="gramStart"/>
      <w:r w:rsidRPr="004F44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F442A">
        <w:rPr>
          <w:rFonts w:ascii="Times New Roman" w:hAnsi="Times New Roman" w:cs="Times New Roman"/>
          <w:sz w:val="24"/>
          <w:szCs w:val="24"/>
        </w:rPr>
        <w:t>. материал.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42A">
        <w:rPr>
          <w:rFonts w:ascii="Times New Roman" w:hAnsi="Times New Roman" w:cs="Times New Roman"/>
          <w:b/>
          <w:i/>
          <w:sz w:val="24"/>
          <w:szCs w:val="24"/>
        </w:rPr>
        <w:t>Перенос убытка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50%-ное ограничение на учет убытков прошлых лет предлагают продлить до конца 2024 года (п. 22 ст. 1 проекта). По действующей редакции временный порядок применяется по 31 декабря 2021 года.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Напомним, с 1 января 2017 года уменьшить базу по налогу на прибыль на убытки прошлых лет можно не более чем на 50%. Исключение составляют базы по некоторым специальным ставкам.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42A">
        <w:rPr>
          <w:rFonts w:ascii="Times New Roman" w:hAnsi="Times New Roman" w:cs="Times New Roman"/>
          <w:b/>
          <w:i/>
          <w:sz w:val="24"/>
          <w:szCs w:val="24"/>
        </w:rPr>
        <w:t>Акцизы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В проекте предусмотрели ставки акцизов на 2024 год (п. 7 ст. 1 проекта). Практически по всем позициям повышение по сравнению с 2023 годом составит около 4%. Например, предлагают установить такие ставки: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вина, в т.ч. фруктовые, — 35 руб. за литр;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шампанское — 47 руб. за литр;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сигареты и папиросы — 2 654 руб. за 1 000 шт. плюс 16% расчетной стоимости, но не менее 3 606 руб. за 1 000 шт.;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 xml:space="preserve">легковые автомобили с мощностью двигателя более 90 л. с. и до 150 л. с. включительно — 57 руб. за 1 л. </w:t>
      </w:r>
      <w:proofErr w:type="gramStart"/>
      <w:r w:rsidRPr="004F44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442A">
        <w:rPr>
          <w:rFonts w:ascii="Times New Roman" w:hAnsi="Times New Roman" w:cs="Times New Roman"/>
          <w:sz w:val="24"/>
          <w:szCs w:val="24"/>
        </w:rPr>
        <w:t>.;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бензин класса 5 — 14 919 руб. за тонну.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При разработке проекта Минфин говорил, что речь идет об индексации ставок акцизов с учетом инфляции.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42A">
        <w:rPr>
          <w:rFonts w:ascii="Times New Roman" w:hAnsi="Times New Roman" w:cs="Times New Roman"/>
          <w:b/>
          <w:i/>
          <w:sz w:val="24"/>
          <w:szCs w:val="24"/>
        </w:rPr>
        <w:t>НДФЛ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В ряде случаев в декларации 3-НДФЛ можно будет не указывать доходы от продажи недвижимости до истечения 3 или 5 лет владения (п. 15 ст. 1 проекта). В отчетности можно не отражать доходы, если гражданин в отношении объекта пользуется правом на имущественный вычет. Стоимость проданной недвижимости или совокупность доходов от продажи нескольких объектов не должна превышать предельный размер вычета: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4F442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F442A">
        <w:rPr>
          <w:rFonts w:ascii="Times New Roman" w:hAnsi="Times New Roman" w:cs="Times New Roman"/>
          <w:sz w:val="24"/>
          <w:szCs w:val="24"/>
        </w:rPr>
        <w:t xml:space="preserve"> руб. — для жилья, садовых домов и земельных участков;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250 тыс. руб. — для иной недвижимости.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Налог на прибыль для организаций культуры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Организациям культуры хотят разрешить заплатить налог на прибыль за 2020 и 2021 годы не позднее 28 марта 2022 года (ст. 4 проекта). Перечислять авансовые платежи за эти периоды не нужно. Порядок касается организаций культуры, у которых основная деятельность: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творческая;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в области искусства и организации развлечений;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деятельность библиотек, архивов, музеев и т.д.</w:t>
      </w: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Основной вид деятельности будут смотреть по коду в ЕГРЮЛ на 31 декабря 2020 года.</w:t>
      </w: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42A">
        <w:rPr>
          <w:rFonts w:ascii="Times New Roman" w:hAnsi="Times New Roman" w:cs="Times New Roman"/>
          <w:i/>
          <w:sz w:val="24"/>
          <w:szCs w:val="24"/>
        </w:rPr>
        <w:t>Документ:</w:t>
      </w:r>
      <w:r w:rsidRPr="004F4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42A">
        <w:rPr>
          <w:rFonts w:ascii="Times New Roman" w:hAnsi="Times New Roman" w:cs="Times New Roman"/>
          <w:i/>
          <w:sz w:val="24"/>
          <w:szCs w:val="24"/>
        </w:rPr>
        <w:t>Проект Федерального закона N 1170972-7</w:t>
      </w:r>
    </w:p>
    <w:p w:rsid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2A">
        <w:rPr>
          <w:rFonts w:ascii="Times New Roman" w:hAnsi="Times New Roman" w:cs="Times New Roman"/>
          <w:b/>
          <w:sz w:val="24"/>
          <w:szCs w:val="24"/>
          <w:u w:val="single"/>
        </w:rPr>
        <w:t>Субсидирование занятости предложено распространить на выпускников прошлого года</w:t>
      </w: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Минтруд планирует частично компенсировать затраты на выплату зарплат выпускникам 2020 года. Субсидию предложено выдавать по первому месту работы на тех, кто встал или встанет на учет в центре занятости после 1 января 2021 года (с. 28 стенограммы).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2A">
        <w:rPr>
          <w:rFonts w:ascii="Times New Roman" w:hAnsi="Times New Roman" w:cs="Times New Roman"/>
          <w:sz w:val="24"/>
          <w:szCs w:val="24"/>
        </w:rPr>
        <w:t>Напомним, сейчас можно получить господдержку за трудоустройство граждан, зарегистрированных в качестве безработных на 1 января 2021 года.</w:t>
      </w:r>
    </w:p>
    <w:p w:rsidR="004F442A" w:rsidRPr="004F442A" w:rsidRDefault="004F442A" w:rsidP="004F442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42A" w:rsidRPr="004F442A" w:rsidRDefault="004F442A" w:rsidP="004F442A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42A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proofErr w:type="spellStart"/>
      <w:r w:rsidRPr="004F442A"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  <w:r w:rsidRPr="004F442A">
        <w:rPr>
          <w:rFonts w:ascii="Times New Roman" w:hAnsi="Times New Roman" w:cs="Times New Roman"/>
          <w:i/>
          <w:sz w:val="24"/>
          <w:szCs w:val="24"/>
        </w:rPr>
        <w:t>, 1997-2021</w:t>
      </w:r>
    </w:p>
    <w:sectPr w:rsidR="004F442A" w:rsidRPr="004F442A" w:rsidSect="003F46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2" w:rsidRDefault="00AB6482" w:rsidP="00E812C0">
      <w:pPr>
        <w:spacing w:after="0" w:line="240" w:lineRule="auto"/>
      </w:pPr>
      <w:r>
        <w:separator/>
      </w:r>
    </w:p>
  </w:endnote>
  <w:end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2" w:rsidRDefault="00AB6482" w:rsidP="00E812C0">
      <w:pPr>
        <w:spacing w:after="0" w:line="240" w:lineRule="auto"/>
      </w:pPr>
      <w:r>
        <w:separator/>
      </w:r>
    </w:p>
  </w:footnote>
  <w:foot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684A"/>
    <w:multiLevelType w:val="multilevel"/>
    <w:tmpl w:val="539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2611B"/>
    <w:multiLevelType w:val="multilevel"/>
    <w:tmpl w:val="4B0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A4F2E"/>
    <w:multiLevelType w:val="multilevel"/>
    <w:tmpl w:val="B5F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1494F"/>
    <w:multiLevelType w:val="hybridMultilevel"/>
    <w:tmpl w:val="2112018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33FDE"/>
    <w:multiLevelType w:val="hybridMultilevel"/>
    <w:tmpl w:val="DD42A990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64632"/>
    <w:multiLevelType w:val="hybridMultilevel"/>
    <w:tmpl w:val="49E672E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A77203"/>
    <w:multiLevelType w:val="multilevel"/>
    <w:tmpl w:val="43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8"/>
  </w:num>
  <w:num w:numId="3">
    <w:abstractNumId w:val="34"/>
  </w:num>
  <w:num w:numId="4">
    <w:abstractNumId w:val="9"/>
  </w:num>
  <w:num w:numId="5">
    <w:abstractNumId w:val="44"/>
  </w:num>
  <w:num w:numId="6">
    <w:abstractNumId w:val="0"/>
  </w:num>
  <w:num w:numId="7">
    <w:abstractNumId w:val="19"/>
  </w:num>
  <w:num w:numId="8">
    <w:abstractNumId w:val="24"/>
  </w:num>
  <w:num w:numId="9">
    <w:abstractNumId w:val="20"/>
  </w:num>
  <w:num w:numId="10">
    <w:abstractNumId w:val="21"/>
  </w:num>
  <w:num w:numId="11">
    <w:abstractNumId w:val="37"/>
  </w:num>
  <w:num w:numId="12">
    <w:abstractNumId w:val="18"/>
  </w:num>
  <w:num w:numId="13">
    <w:abstractNumId w:val="29"/>
  </w:num>
  <w:num w:numId="14">
    <w:abstractNumId w:val="11"/>
  </w:num>
  <w:num w:numId="15">
    <w:abstractNumId w:val="43"/>
  </w:num>
  <w:num w:numId="16">
    <w:abstractNumId w:val="26"/>
  </w:num>
  <w:num w:numId="17">
    <w:abstractNumId w:val="6"/>
  </w:num>
  <w:num w:numId="18">
    <w:abstractNumId w:val="8"/>
  </w:num>
  <w:num w:numId="19">
    <w:abstractNumId w:val="13"/>
  </w:num>
  <w:num w:numId="20">
    <w:abstractNumId w:val="38"/>
  </w:num>
  <w:num w:numId="21">
    <w:abstractNumId w:val="31"/>
  </w:num>
  <w:num w:numId="22">
    <w:abstractNumId w:val="3"/>
  </w:num>
  <w:num w:numId="23">
    <w:abstractNumId w:val="15"/>
  </w:num>
  <w:num w:numId="24">
    <w:abstractNumId w:val="35"/>
  </w:num>
  <w:num w:numId="25">
    <w:abstractNumId w:val="41"/>
  </w:num>
  <w:num w:numId="26">
    <w:abstractNumId w:val="7"/>
  </w:num>
  <w:num w:numId="27">
    <w:abstractNumId w:val="10"/>
  </w:num>
  <w:num w:numId="28">
    <w:abstractNumId w:val="2"/>
  </w:num>
  <w:num w:numId="29">
    <w:abstractNumId w:val="14"/>
  </w:num>
  <w:num w:numId="30">
    <w:abstractNumId w:val="22"/>
  </w:num>
  <w:num w:numId="31">
    <w:abstractNumId w:val="25"/>
  </w:num>
  <w:num w:numId="32">
    <w:abstractNumId w:val="17"/>
  </w:num>
  <w:num w:numId="33">
    <w:abstractNumId w:val="12"/>
  </w:num>
  <w:num w:numId="34">
    <w:abstractNumId w:val="23"/>
  </w:num>
  <w:num w:numId="35">
    <w:abstractNumId w:val="27"/>
  </w:num>
  <w:num w:numId="36">
    <w:abstractNumId w:val="33"/>
  </w:num>
  <w:num w:numId="37">
    <w:abstractNumId w:val="39"/>
  </w:num>
  <w:num w:numId="38">
    <w:abstractNumId w:val="30"/>
  </w:num>
  <w:num w:numId="39">
    <w:abstractNumId w:val="42"/>
  </w:num>
  <w:num w:numId="40">
    <w:abstractNumId w:val="5"/>
  </w:num>
  <w:num w:numId="41">
    <w:abstractNumId w:val="4"/>
  </w:num>
  <w:num w:numId="42">
    <w:abstractNumId w:val="1"/>
  </w:num>
  <w:num w:numId="43">
    <w:abstractNumId w:val="32"/>
  </w:num>
  <w:num w:numId="44">
    <w:abstractNumId w:val="16"/>
  </w:num>
  <w:num w:numId="45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0F5094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C3B6F"/>
    <w:rsid w:val="003D69CF"/>
    <w:rsid w:val="003E76FC"/>
    <w:rsid w:val="003F46AC"/>
    <w:rsid w:val="0040156E"/>
    <w:rsid w:val="00416979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4F442A"/>
    <w:rsid w:val="00512FE2"/>
    <w:rsid w:val="00513062"/>
    <w:rsid w:val="005131C6"/>
    <w:rsid w:val="00536866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D1D7D"/>
    <w:rsid w:val="008E3701"/>
    <w:rsid w:val="008F79F4"/>
    <w:rsid w:val="0090355D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A6C9B"/>
    <w:rsid w:val="00DB1A94"/>
    <w:rsid w:val="00E05AB4"/>
    <w:rsid w:val="00E21D74"/>
    <w:rsid w:val="00E41706"/>
    <w:rsid w:val="00E560E0"/>
    <w:rsid w:val="00E6041F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E7E0-D7EC-4933-B867-703557AF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2021-05-18T09:38:00Z</cp:lastPrinted>
  <dcterms:created xsi:type="dcterms:W3CDTF">2021-05-17T06:56:00Z</dcterms:created>
  <dcterms:modified xsi:type="dcterms:W3CDTF">2021-05-18T09:38:00Z</dcterms:modified>
</cp:coreProperties>
</file>