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D305C" w14:textId="7DD94427" w:rsidR="004E03E2" w:rsidRPr="00783316" w:rsidRDefault="004461F3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316" w:rsidRPr="007833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143505C7" w14:textId="77777777"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 результатам проведенной оценки эффективности налоговых расходов муниципального</w:t>
      </w:r>
      <w:r w:rsidR="00D71E8B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823879">
        <w:rPr>
          <w:rFonts w:ascii="Times New Roman" w:hAnsi="Times New Roman" w:cs="Times New Roman"/>
          <w:b/>
          <w:sz w:val="24"/>
          <w:szCs w:val="24"/>
        </w:rPr>
        <w:t>Кусинское</w:t>
      </w:r>
      <w:r w:rsidR="00D71E8B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14:paraId="512B5A4A" w14:textId="77777777"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83316">
        <w:rPr>
          <w:rFonts w:ascii="Times New Roman" w:hAnsi="Times New Roman" w:cs="Times New Roman"/>
          <w:b/>
          <w:sz w:val="24"/>
          <w:szCs w:val="24"/>
        </w:rPr>
        <w:t>иришского муниципального района Ленинградской области</w:t>
      </w:r>
    </w:p>
    <w:p w14:paraId="0733AF2A" w14:textId="77777777" w:rsidR="00766D9F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38F69" w14:textId="77777777"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18EFB" w14:textId="77777777"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14:paraId="3F46F2DF" w14:textId="77777777"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03DFD" w14:textId="77777777" w:rsidR="00783316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муниципального</w:t>
      </w:r>
      <w:r w:rsidR="00D71E8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823879">
        <w:rPr>
          <w:rFonts w:ascii="Times New Roman" w:hAnsi="Times New Roman" w:cs="Times New Roman"/>
          <w:sz w:val="24"/>
          <w:szCs w:val="24"/>
        </w:rPr>
        <w:t>Кусинское</w:t>
      </w:r>
      <w:r w:rsidR="00D71E8B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Киришского муниципального района Ленинградской области проведена в соответствии с Порядком </w:t>
      </w:r>
      <w:r w:rsidRPr="00F51018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 муниципального обр</w:t>
      </w:r>
      <w:r w:rsidR="00D71E8B">
        <w:rPr>
          <w:rFonts w:ascii="Times New Roman" w:hAnsi="Times New Roman" w:cs="Times New Roman"/>
          <w:sz w:val="24"/>
          <w:szCs w:val="24"/>
        </w:rPr>
        <w:t xml:space="preserve">азования </w:t>
      </w:r>
      <w:r w:rsidR="00823879">
        <w:rPr>
          <w:rFonts w:ascii="Times New Roman" w:hAnsi="Times New Roman" w:cs="Times New Roman"/>
          <w:sz w:val="24"/>
          <w:szCs w:val="24"/>
        </w:rPr>
        <w:t>Кусинское</w:t>
      </w:r>
      <w:r w:rsidR="00D71E8B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 Киришского муниципального района Ленинградской области и осуществления оценки налоговых расходов муницип</w:t>
      </w:r>
      <w:r w:rsidR="00D71E8B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r w:rsidR="00823879">
        <w:rPr>
          <w:rFonts w:ascii="Times New Roman" w:hAnsi="Times New Roman" w:cs="Times New Roman"/>
          <w:sz w:val="24"/>
          <w:szCs w:val="24"/>
        </w:rPr>
        <w:t>Кусинское</w:t>
      </w:r>
      <w:r w:rsidR="00D71E8B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 Киришского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утвержденны</w:t>
      </w:r>
      <w:r w:rsidR="00AF5C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82387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Кусинское сельское поселение </w:t>
      </w:r>
      <w:r>
        <w:rPr>
          <w:rFonts w:ascii="Times New Roman" w:hAnsi="Times New Roman" w:cs="Times New Roman"/>
          <w:sz w:val="24"/>
          <w:szCs w:val="24"/>
        </w:rPr>
        <w:t>Кириш</w:t>
      </w:r>
      <w:r w:rsidR="005B6225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</w:t>
      </w:r>
      <w:r w:rsidR="00823879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5B6225">
        <w:rPr>
          <w:rFonts w:ascii="Times New Roman" w:hAnsi="Times New Roman" w:cs="Times New Roman"/>
          <w:sz w:val="24"/>
          <w:szCs w:val="24"/>
        </w:rPr>
        <w:t xml:space="preserve">от </w:t>
      </w:r>
      <w:r w:rsidR="0082387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декабря 2019 года №</w:t>
      </w:r>
      <w:r w:rsidR="00D71E8B">
        <w:rPr>
          <w:rFonts w:ascii="Times New Roman" w:hAnsi="Times New Roman" w:cs="Times New Roman"/>
          <w:sz w:val="24"/>
          <w:szCs w:val="24"/>
        </w:rPr>
        <w:t xml:space="preserve"> </w:t>
      </w:r>
      <w:r w:rsidR="0082387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B6D8BD" w14:textId="77777777" w:rsidR="00F51018" w:rsidRP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В целях оценки налоговых </w:t>
      </w:r>
      <w:r w:rsidR="00920E4B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5B6225">
        <w:rPr>
          <w:rFonts w:ascii="Times New Roman" w:hAnsi="Times New Roman" w:cs="Times New Roman"/>
          <w:sz w:val="24"/>
          <w:szCs w:val="24"/>
        </w:rPr>
        <w:t xml:space="preserve">Администраций муниципального образования </w:t>
      </w:r>
      <w:r w:rsidR="000E45D7">
        <w:rPr>
          <w:rFonts w:ascii="Times New Roman" w:hAnsi="Times New Roman" w:cs="Times New Roman"/>
          <w:sz w:val="24"/>
          <w:szCs w:val="24"/>
        </w:rPr>
        <w:t>Кусинское</w:t>
      </w:r>
      <w:r w:rsidR="005B6225">
        <w:rPr>
          <w:rFonts w:ascii="Times New Roman" w:hAnsi="Times New Roman" w:cs="Times New Roman"/>
          <w:sz w:val="24"/>
          <w:szCs w:val="24"/>
        </w:rPr>
        <w:t xml:space="preserve"> сельское поселение Киришского муниципального района Ленинградской области </w:t>
      </w:r>
      <w:r w:rsidR="00F0044C">
        <w:rPr>
          <w:rFonts w:ascii="Times New Roman" w:hAnsi="Times New Roman" w:cs="Times New Roman"/>
          <w:sz w:val="24"/>
          <w:szCs w:val="24"/>
        </w:rPr>
        <w:t>формированы</w:t>
      </w:r>
      <w:r w:rsidRPr="00F5101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A5D5F4" w14:textId="6E88ECB5" w:rsid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0E45D7">
        <w:rPr>
          <w:rFonts w:ascii="Times New Roman" w:hAnsi="Times New Roman" w:cs="Times New Roman"/>
          <w:sz w:val="24"/>
          <w:szCs w:val="24"/>
        </w:rPr>
        <w:t>Кусинское</w:t>
      </w:r>
      <w:r w:rsidR="005B6225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 Киришского муниципального района Ленинградской области на 202</w:t>
      </w:r>
      <w:r w:rsidR="004461F3">
        <w:rPr>
          <w:rFonts w:ascii="Times New Roman" w:hAnsi="Times New Roman" w:cs="Times New Roman"/>
          <w:sz w:val="24"/>
          <w:szCs w:val="24"/>
        </w:rPr>
        <w:t>5</w:t>
      </w:r>
      <w:r w:rsidRPr="00F5101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461F3">
        <w:rPr>
          <w:rFonts w:ascii="Times New Roman" w:hAnsi="Times New Roman" w:cs="Times New Roman"/>
          <w:sz w:val="24"/>
          <w:szCs w:val="24"/>
        </w:rPr>
        <w:t>6</w:t>
      </w:r>
      <w:r w:rsidRPr="00F51018">
        <w:rPr>
          <w:rFonts w:ascii="Times New Roman" w:hAnsi="Times New Roman" w:cs="Times New Roman"/>
          <w:sz w:val="24"/>
          <w:szCs w:val="24"/>
        </w:rPr>
        <w:t>-202</w:t>
      </w:r>
      <w:r w:rsidR="004461F3">
        <w:rPr>
          <w:rFonts w:ascii="Times New Roman" w:hAnsi="Times New Roman" w:cs="Times New Roman"/>
          <w:sz w:val="24"/>
          <w:szCs w:val="24"/>
        </w:rPr>
        <w:t>7</w:t>
      </w:r>
      <w:r w:rsidRPr="00F51018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(постановление администрации </w:t>
      </w:r>
      <w:r w:rsidR="000E45D7">
        <w:rPr>
          <w:rFonts w:ascii="Times New Roman" w:hAnsi="Times New Roman" w:cs="Times New Roman"/>
          <w:sz w:val="24"/>
          <w:szCs w:val="24"/>
        </w:rPr>
        <w:t>Кусинское</w:t>
      </w:r>
      <w:r w:rsidR="00E267A4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461F3">
        <w:rPr>
          <w:rFonts w:ascii="Times New Roman" w:hAnsi="Times New Roman" w:cs="Times New Roman"/>
          <w:sz w:val="24"/>
          <w:szCs w:val="24"/>
        </w:rPr>
        <w:t>05.0</w:t>
      </w:r>
      <w:r w:rsidR="00C84BE4">
        <w:rPr>
          <w:rFonts w:ascii="Times New Roman" w:hAnsi="Times New Roman" w:cs="Times New Roman"/>
          <w:sz w:val="24"/>
          <w:szCs w:val="24"/>
        </w:rPr>
        <w:t>3</w:t>
      </w:r>
      <w:r w:rsidR="004461F3">
        <w:rPr>
          <w:rFonts w:ascii="Times New Roman" w:hAnsi="Times New Roman" w:cs="Times New Roman"/>
          <w:sz w:val="24"/>
          <w:szCs w:val="24"/>
        </w:rPr>
        <w:t>.2024г № 41</w:t>
      </w:r>
      <w:r w:rsidR="00F0044C">
        <w:rPr>
          <w:rFonts w:ascii="Times New Roman" w:hAnsi="Times New Roman" w:cs="Times New Roman"/>
          <w:sz w:val="24"/>
          <w:szCs w:val="24"/>
        </w:rPr>
        <w:t>);</w:t>
      </w:r>
    </w:p>
    <w:p w14:paraId="0A0DBEE5" w14:textId="1E839764" w:rsidR="00F0044C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2) паспорт налоговых расходов 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45D7">
        <w:rPr>
          <w:rFonts w:ascii="Times New Roman" w:hAnsi="Times New Roman" w:cs="Times New Roman"/>
          <w:sz w:val="24"/>
          <w:szCs w:val="24"/>
        </w:rPr>
        <w:t>Кусинское</w:t>
      </w:r>
      <w:r w:rsidR="005B6225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поселение Киришского муниципального района Ленинградской области на 202</w:t>
      </w:r>
      <w:r w:rsidR="004461F3">
        <w:rPr>
          <w:rFonts w:ascii="Times New Roman" w:hAnsi="Times New Roman" w:cs="Times New Roman"/>
          <w:sz w:val="24"/>
          <w:szCs w:val="24"/>
        </w:rPr>
        <w:t>5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461F3">
        <w:rPr>
          <w:rFonts w:ascii="Times New Roman" w:hAnsi="Times New Roman" w:cs="Times New Roman"/>
          <w:sz w:val="24"/>
          <w:szCs w:val="24"/>
        </w:rPr>
        <w:t>6</w:t>
      </w:r>
      <w:r w:rsidR="00F0044C" w:rsidRPr="00F0044C">
        <w:rPr>
          <w:rFonts w:ascii="Times New Roman" w:hAnsi="Times New Roman" w:cs="Times New Roman"/>
          <w:sz w:val="24"/>
          <w:szCs w:val="24"/>
        </w:rPr>
        <w:t>-202</w:t>
      </w:r>
      <w:r w:rsidR="004461F3">
        <w:rPr>
          <w:rFonts w:ascii="Times New Roman" w:hAnsi="Times New Roman" w:cs="Times New Roman"/>
          <w:sz w:val="24"/>
          <w:szCs w:val="24"/>
        </w:rPr>
        <w:t>7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0044C">
        <w:rPr>
          <w:rFonts w:ascii="Times New Roman" w:hAnsi="Times New Roman" w:cs="Times New Roman"/>
          <w:sz w:val="24"/>
          <w:szCs w:val="24"/>
        </w:rPr>
        <w:t>.</w:t>
      </w:r>
    </w:p>
    <w:p w14:paraId="4C611515" w14:textId="77777777" w:rsidR="008822DD" w:rsidRDefault="00485FEA" w:rsidP="00124D1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5F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5FEA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 w:rsidR="000E45D7">
        <w:rPr>
          <w:rFonts w:ascii="Times New Roman" w:hAnsi="Times New Roman" w:cs="Times New Roman"/>
          <w:sz w:val="24"/>
          <w:szCs w:val="24"/>
        </w:rPr>
        <w:t>Кусинское</w:t>
      </w:r>
      <w:r w:rsidR="005B6225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485FEA">
        <w:rPr>
          <w:rFonts w:ascii="Times New Roman" w:hAnsi="Times New Roman" w:cs="Times New Roman"/>
          <w:sz w:val="24"/>
          <w:szCs w:val="24"/>
        </w:rPr>
        <w:t xml:space="preserve"> поселение Киришс</w:t>
      </w:r>
      <w:r w:rsidR="008822DD">
        <w:rPr>
          <w:rFonts w:ascii="Times New Roman" w:hAnsi="Times New Roman" w:cs="Times New Roman"/>
          <w:sz w:val="24"/>
          <w:szCs w:val="24"/>
        </w:rPr>
        <w:t>кого муниципального района от 10.10.2019 №</w:t>
      </w:r>
      <w:r w:rsidR="000E45D7">
        <w:rPr>
          <w:rFonts w:ascii="Times New Roman" w:hAnsi="Times New Roman" w:cs="Times New Roman"/>
          <w:sz w:val="24"/>
          <w:szCs w:val="24"/>
        </w:rPr>
        <w:t xml:space="preserve"> </w:t>
      </w:r>
      <w:r w:rsidR="008822DD">
        <w:rPr>
          <w:rFonts w:ascii="Times New Roman" w:hAnsi="Times New Roman" w:cs="Times New Roman"/>
          <w:sz w:val="24"/>
          <w:szCs w:val="24"/>
        </w:rPr>
        <w:t>2/</w:t>
      </w:r>
      <w:r w:rsidR="000E45D7">
        <w:rPr>
          <w:rFonts w:ascii="Times New Roman" w:hAnsi="Times New Roman" w:cs="Times New Roman"/>
          <w:sz w:val="24"/>
          <w:szCs w:val="24"/>
        </w:rPr>
        <w:t>9</w:t>
      </w:r>
      <w:r w:rsidR="008822DD">
        <w:rPr>
          <w:rFonts w:ascii="Times New Roman" w:hAnsi="Times New Roman" w:cs="Times New Roman"/>
          <w:sz w:val="24"/>
          <w:szCs w:val="24"/>
        </w:rPr>
        <w:t xml:space="preserve"> </w:t>
      </w:r>
      <w:r w:rsidR="008822DD" w:rsidRPr="00902798">
        <w:rPr>
          <w:rFonts w:ascii="Times New Roman" w:hAnsi="Times New Roman" w:cs="Times New Roman"/>
          <w:sz w:val="24"/>
        </w:rPr>
        <w:t>«</w:t>
      </w:r>
      <w:r w:rsidR="008822DD" w:rsidRPr="00DB6B13">
        <w:rPr>
          <w:rFonts w:ascii="Times New Roman" w:hAnsi="Times New Roman" w:cs="Times New Roman"/>
          <w:sz w:val="24"/>
          <w:szCs w:val="20"/>
        </w:rPr>
        <w:t xml:space="preserve">Об установлении </w:t>
      </w:r>
      <w:r w:rsidR="008822DD">
        <w:rPr>
          <w:rFonts w:ascii="Times New Roman" w:hAnsi="Times New Roman" w:cs="Times New Roman"/>
          <w:sz w:val="24"/>
          <w:szCs w:val="20"/>
        </w:rPr>
        <w:t xml:space="preserve">земельного налога на территории муниципального </w:t>
      </w:r>
      <w:r w:rsidR="008822DD" w:rsidRPr="00DB6B13">
        <w:rPr>
          <w:rFonts w:ascii="Times New Roman" w:hAnsi="Times New Roman" w:cs="Times New Roman"/>
          <w:sz w:val="24"/>
          <w:szCs w:val="20"/>
        </w:rPr>
        <w:t xml:space="preserve">образования </w:t>
      </w:r>
      <w:r w:rsidR="000E45D7">
        <w:rPr>
          <w:rFonts w:ascii="Times New Roman" w:hAnsi="Times New Roman" w:cs="Times New Roman"/>
          <w:sz w:val="24"/>
          <w:szCs w:val="20"/>
        </w:rPr>
        <w:t>Кусинское</w:t>
      </w:r>
      <w:r w:rsidR="008822DD" w:rsidRPr="00DB6B13">
        <w:rPr>
          <w:rFonts w:ascii="Times New Roman" w:hAnsi="Times New Roman" w:cs="Times New Roman"/>
          <w:sz w:val="24"/>
          <w:szCs w:val="20"/>
        </w:rPr>
        <w:t xml:space="preserve"> сельское поселение Киришского муниципального района Ленинградской области</w:t>
      </w:r>
      <w:r w:rsidR="008822DD">
        <w:rPr>
          <w:rFonts w:ascii="Times New Roman" w:hAnsi="Times New Roman" w:cs="Times New Roman"/>
          <w:sz w:val="24"/>
          <w:szCs w:val="20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следующие налоговые льготы:</w:t>
      </w:r>
    </w:p>
    <w:p w14:paraId="4372A1D1" w14:textId="77777777" w:rsidR="00485FEA" w:rsidRPr="008822DD" w:rsidRDefault="00485FEA" w:rsidP="008822DD">
      <w:pPr>
        <w:jc w:val="both"/>
        <w:rPr>
          <w:rFonts w:ascii="Times New Roman" w:hAnsi="Times New Roman" w:cs="Times New Roman"/>
          <w:sz w:val="20"/>
          <w:szCs w:val="20"/>
        </w:rPr>
      </w:pPr>
      <w:r w:rsidRPr="00485FEA">
        <w:rPr>
          <w:rFonts w:ascii="Times New Roman" w:hAnsi="Times New Roman" w:cs="Times New Roman"/>
          <w:sz w:val="24"/>
          <w:szCs w:val="24"/>
        </w:rPr>
        <w:t>Освобождаются от налогообложения:</w:t>
      </w:r>
    </w:p>
    <w:p w14:paraId="1FB6AAF1" w14:textId="77777777" w:rsidR="008822DD" w:rsidRDefault="008822DD" w:rsidP="00124D1E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13">
        <w:rPr>
          <w:rFonts w:ascii="Times New Roman" w:hAnsi="Times New Roman" w:cs="Times New Roman"/>
          <w:sz w:val="24"/>
          <w:szCs w:val="24"/>
        </w:rPr>
        <w:t xml:space="preserve">1) Казенные учреждения, бюджетные учреждения, муниципальные автономные учреждения, органы местного самоуправления, финансируемые из бюджета муниципального образования </w:t>
      </w:r>
      <w:r w:rsidR="004B58B6">
        <w:rPr>
          <w:rFonts w:ascii="Times New Roman" w:hAnsi="Times New Roman" w:cs="Times New Roman"/>
          <w:sz w:val="24"/>
          <w:szCs w:val="24"/>
        </w:rPr>
        <w:t>Кусинское</w:t>
      </w:r>
      <w:r w:rsidRPr="00DB6B13">
        <w:rPr>
          <w:rFonts w:ascii="Times New Roman" w:hAnsi="Times New Roman" w:cs="Times New Roman"/>
          <w:sz w:val="24"/>
          <w:szCs w:val="24"/>
        </w:rPr>
        <w:t xml:space="preserve"> сельское поселение Киришского муниципального района Ленинградской области, бюджета муниципального образования Киришский муниципальный район Ленинградской области;</w:t>
      </w:r>
    </w:p>
    <w:p w14:paraId="3DC89520" w14:textId="77777777" w:rsidR="00D8410B" w:rsidRPr="00DB6B13" w:rsidRDefault="00D8410B" w:rsidP="00124D1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13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B13">
        <w:rPr>
          <w:rFonts w:ascii="Times New Roman" w:hAnsi="Times New Roman" w:cs="Times New Roman"/>
          <w:sz w:val="24"/>
          <w:szCs w:val="24"/>
        </w:rPr>
        <w:t>Предприятия и организации жилищно-коммунального хозяйства, независимо от форм собственности;</w:t>
      </w:r>
    </w:p>
    <w:p w14:paraId="530DC198" w14:textId="77777777" w:rsidR="008822DD" w:rsidRPr="00DB6B13" w:rsidRDefault="00D8410B" w:rsidP="00124D1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22DD" w:rsidRPr="00DB6B13">
        <w:rPr>
          <w:rFonts w:ascii="Times New Roman" w:hAnsi="Times New Roman" w:cs="Times New Roman"/>
          <w:sz w:val="24"/>
          <w:szCs w:val="24"/>
        </w:rPr>
        <w:t>) Для категории налогоплательщиков - физических лиц, имеющих трёх и более несовершеннолетних детей, налоговая база дополнительно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владении. При этом, общая величина налогового вычета для физических лиц, имеющих трёх и более несовершеннолетних детей, с учетом положений, установленных подпунктом 10 пункта 5 статьи 391 Налогового кодекса Российской Федерации, составит 1200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(за исключением земельных участков, предназначенных для использования в предпринимательской деятельности).</w:t>
      </w:r>
    </w:p>
    <w:p w14:paraId="51C8BD4F" w14:textId="77777777" w:rsidR="008822DD" w:rsidRPr="00485FEA" w:rsidRDefault="008822DD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13586B" w14:textId="00BB05DB" w:rsid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результате предоставления налоговых льгот (налоговых расходов) в 20</w:t>
      </w:r>
      <w:r w:rsidR="00F33CAF">
        <w:rPr>
          <w:rFonts w:ascii="Times New Roman" w:hAnsi="Times New Roman" w:cs="Times New Roman"/>
          <w:sz w:val="24"/>
          <w:szCs w:val="24"/>
        </w:rPr>
        <w:t>2</w:t>
      </w:r>
      <w:r w:rsidR="004461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BE50F8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C76BB9" w:rsidRPr="00F306EE">
        <w:rPr>
          <w:rFonts w:ascii="Times New Roman" w:hAnsi="Times New Roman" w:cs="Times New Roman"/>
          <w:sz w:val="24"/>
          <w:szCs w:val="24"/>
        </w:rPr>
        <w:t>5</w:t>
      </w:r>
      <w:r w:rsidR="004461F3">
        <w:rPr>
          <w:rFonts w:ascii="Times New Roman" w:hAnsi="Times New Roman" w:cs="Times New Roman"/>
          <w:sz w:val="24"/>
          <w:szCs w:val="24"/>
        </w:rPr>
        <w:t>67</w:t>
      </w:r>
      <w:r w:rsidR="00C76BB9" w:rsidRPr="00F306EE">
        <w:rPr>
          <w:rFonts w:ascii="Times New Roman" w:hAnsi="Times New Roman" w:cs="Times New Roman"/>
          <w:sz w:val="24"/>
          <w:szCs w:val="24"/>
        </w:rPr>
        <w:t>,0</w:t>
      </w:r>
      <w:r w:rsidRPr="00F306E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A33B6C0" w14:textId="77777777" w:rsid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F687DD" w14:textId="1D47C429" w:rsidR="00766D9F" w:rsidRDefault="00507762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07762">
        <w:rPr>
          <w:rFonts w:ascii="Times New Roman" w:hAnsi="Times New Roman" w:cs="Times New Roman"/>
          <w:sz w:val="24"/>
          <w:szCs w:val="24"/>
        </w:rPr>
        <w:t>бъем налоговых расходов бюджета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023664">
        <w:rPr>
          <w:rFonts w:ascii="Times New Roman" w:hAnsi="Times New Roman" w:cs="Times New Roman"/>
          <w:sz w:val="24"/>
          <w:szCs w:val="24"/>
        </w:rPr>
        <w:t>Кусинское</w:t>
      </w:r>
      <w:r w:rsidR="005B6225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Киришского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20</w:t>
      </w:r>
      <w:r w:rsidR="00F33CAF">
        <w:rPr>
          <w:rFonts w:ascii="Times New Roman" w:hAnsi="Times New Roman" w:cs="Times New Roman"/>
          <w:sz w:val="24"/>
          <w:szCs w:val="24"/>
        </w:rPr>
        <w:t>2</w:t>
      </w:r>
      <w:r w:rsidR="004461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817"/>
        <w:gridCol w:w="6521"/>
        <w:gridCol w:w="2429"/>
      </w:tblGrid>
      <w:tr w:rsidR="00507762" w14:paraId="70380E4B" w14:textId="77777777" w:rsidTr="00507762">
        <w:tc>
          <w:tcPr>
            <w:tcW w:w="817" w:type="dxa"/>
          </w:tcPr>
          <w:p w14:paraId="18C71842" w14:textId="77777777" w:rsidR="00507762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14:paraId="28FA4FE7" w14:textId="77777777" w:rsidR="00507762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429" w:type="dxa"/>
          </w:tcPr>
          <w:p w14:paraId="25D8260A" w14:textId="77777777" w:rsidR="00507762" w:rsidRDefault="00507762" w:rsidP="00507762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Выпадающие доходы бюджета-налоговые 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07762" w14:paraId="7AEBE4C3" w14:textId="77777777" w:rsidTr="00507762">
        <w:tc>
          <w:tcPr>
            <w:tcW w:w="9767" w:type="dxa"/>
            <w:gridSpan w:val="3"/>
          </w:tcPr>
          <w:p w14:paraId="31894A15" w14:textId="77777777" w:rsidR="00507762" w:rsidRPr="00507762" w:rsidRDefault="00507762" w:rsidP="005077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(юридические лица) (местный налог)</w:t>
            </w:r>
          </w:p>
        </w:tc>
      </w:tr>
      <w:tr w:rsidR="00507762" w14:paraId="0DD081B0" w14:textId="77777777" w:rsidTr="00507762">
        <w:tc>
          <w:tcPr>
            <w:tcW w:w="817" w:type="dxa"/>
          </w:tcPr>
          <w:p w14:paraId="46B40493" w14:textId="77777777" w:rsidR="00507762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14:paraId="03205F70" w14:textId="77777777" w:rsidR="00507762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Льготы по земельному налогу в виде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обождения от налогообложения: </w:t>
            </w:r>
          </w:p>
        </w:tc>
        <w:tc>
          <w:tcPr>
            <w:tcW w:w="2429" w:type="dxa"/>
          </w:tcPr>
          <w:p w14:paraId="0BF9EB9C" w14:textId="75D81B78" w:rsidR="00507762" w:rsidRDefault="004461F3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D511A5" w14:paraId="055D41BC" w14:textId="77777777" w:rsidTr="00507762">
        <w:tc>
          <w:tcPr>
            <w:tcW w:w="817" w:type="dxa"/>
          </w:tcPr>
          <w:p w14:paraId="130C0862" w14:textId="77777777" w:rsidR="00D511A5" w:rsidRDefault="00D511A5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521" w:type="dxa"/>
          </w:tcPr>
          <w:p w14:paraId="4FAA5ED2" w14:textId="77777777" w:rsidR="00D511A5" w:rsidRPr="00D511A5" w:rsidRDefault="00D511A5" w:rsidP="007847AE">
            <w:pPr>
              <w:pStyle w:val="a5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 xml:space="preserve">Казенные учреждения, бюджетные учреждения, муниципальные автономные учреждения, органы местного самоуправления, финансируемые из бюджета муниципального образования </w:t>
            </w:r>
            <w:r w:rsidR="00E57F08">
              <w:rPr>
                <w:rFonts w:ascii="Times New Roman" w:hAnsi="Times New Roman" w:cs="Times New Roman"/>
              </w:rPr>
              <w:t>Кусинское</w:t>
            </w:r>
            <w:r w:rsidRPr="00D511A5">
              <w:rPr>
                <w:rFonts w:ascii="Times New Roman" w:hAnsi="Times New Roman" w:cs="Times New Roman"/>
              </w:rPr>
              <w:t xml:space="preserve"> сельское поселение Киришского муниципального района Ленинградской области, бюджета муниципального образования Киришский муниципальный район Ленинградской области</w:t>
            </w:r>
          </w:p>
        </w:tc>
        <w:tc>
          <w:tcPr>
            <w:tcW w:w="2429" w:type="dxa"/>
          </w:tcPr>
          <w:p w14:paraId="56047DDC" w14:textId="4EC98696" w:rsidR="00D511A5" w:rsidRDefault="004461F3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D8410B" w14:paraId="6E63FA36" w14:textId="77777777" w:rsidTr="00507762">
        <w:tc>
          <w:tcPr>
            <w:tcW w:w="817" w:type="dxa"/>
          </w:tcPr>
          <w:p w14:paraId="65AF707B" w14:textId="77777777" w:rsidR="00D8410B" w:rsidRDefault="00D8410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521" w:type="dxa"/>
          </w:tcPr>
          <w:p w14:paraId="167B1ED0" w14:textId="77777777" w:rsidR="00D8410B" w:rsidRPr="00D511A5" w:rsidRDefault="00D8410B" w:rsidP="00D8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A5"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 жилищно-коммунального хозяйства, независимо от форм собственности</w:t>
            </w:r>
          </w:p>
        </w:tc>
        <w:tc>
          <w:tcPr>
            <w:tcW w:w="2429" w:type="dxa"/>
          </w:tcPr>
          <w:p w14:paraId="0C59DC45" w14:textId="77777777" w:rsidR="00D8410B" w:rsidRDefault="00D8410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410B" w14:paraId="138503BB" w14:textId="77777777" w:rsidTr="00507762">
        <w:tc>
          <w:tcPr>
            <w:tcW w:w="9767" w:type="dxa"/>
            <w:gridSpan w:val="3"/>
          </w:tcPr>
          <w:p w14:paraId="0C82DDD6" w14:textId="77777777" w:rsidR="00D8410B" w:rsidRPr="00507762" w:rsidRDefault="00D8410B" w:rsidP="005077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D8410B" w14:paraId="1BBA8AA1" w14:textId="77777777" w:rsidTr="00507762">
        <w:tc>
          <w:tcPr>
            <w:tcW w:w="817" w:type="dxa"/>
          </w:tcPr>
          <w:p w14:paraId="70ECDE1E" w14:textId="77777777" w:rsidR="00D8410B" w:rsidRDefault="00D8410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14:paraId="4A122626" w14:textId="77777777" w:rsidR="00D8410B" w:rsidRPr="00507762" w:rsidRDefault="00D8410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меньшения налоговой базы на величину кадастровой стоимости 600 квадратных метров площади земельного участка,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собственности: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физические лица имеющих трех и более несовершеннолетних детей</w:t>
            </w:r>
          </w:p>
        </w:tc>
        <w:tc>
          <w:tcPr>
            <w:tcW w:w="2429" w:type="dxa"/>
          </w:tcPr>
          <w:p w14:paraId="354E6662" w14:textId="4E182A65" w:rsidR="00D8410B" w:rsidRPr="00507762" w:rsidRDefault="004461F3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5E6511D6" w14:textId="77777777" w:rsidR="007847AE" w:rsidRDefault="007847AE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6A264B" w14:textId="77777777" w:rsidR="00555DCF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14:paraId="114BE623" w14:textId="77777777"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507762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14:paraId="27C88CDB" w14:textId="77777777"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14:paraId="53D0739E" w14:textId="77777777"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14:paraId="7EF047DD" w14:textId="77777777"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14:paraId="6301F6D3" w14:textId="77777777"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66DB23" w14:textId="77777777"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14:paraId="4DF1A96D" w14:textId="77777777" w:rsidR="00EC040E" w:rsidRPr="00EC040E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DA106" w14:textId="77777777" w:rsidR="00F0044C" w:rsidRPr="00E60E89" w:rsidRDefault="00EC040E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Оценка с</w:t>
      </w:r>
      <w:r w:rsidR="00F0044C" w:rsidRPr="00E60E89">
        <w:rPr>
          <w:rFonts w:ascii="Times New Roman" w:hAnsi="Times New Roman" w:cs="Times New Roman"/>
          <w:sz w:val="24"/>
          <w:szCs w:val="24"/>
        </w:rPr>
        <w:t>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0044C" w:rsidRPr="00E60E89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>
        <w:rPr>
          <w:rFonts w:ascii="Times New Roman" w:hAnsi="Times New Roman" w:cs="Times New Roman"/>
          <w:sz w:val="24"/>
          <w:szCs w:val="24"/>
        </w:rPr>
        <w:t>.</w:t>
      </w:r>
    </w:p>
    <w:p w14:paraId="7F1748A1" w14:textId="77777777" w:rsidR="00F0044C" w:rsidRDefault="00F0044C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150"/>
        <w:gridCol w:w="3586"/>
        <w:gridCol w:w="2408"/>
        <w:gridCol w:w="2413"/>
      </w:tblGrid>
      <w:tr w:rsidR="00C97A03" w:rsidRPr="00C97A03" w14:paraId="2E4BF169" w14:textId="77777777" w:rsidTr="00D511A5">
        <w:tc>
          <w:tcPr>
            <w:tcW w:w="2150" w:type="dxa"/>
          </w:tcPr>
          <w:p w14:paraId="3B4A4671" w14:textId="77777777" w:rsidR="00C97A03" w:rsidRPr="00EC040E" w:rsidRDefault="00C97A03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86" w:type="dxa"/>
          </w:tcPr>
          <w:p w14:paraId="2B7D43EE" w14:textId="77777777" w:rsidR="00C97A03" w:rsidRPr="00EC04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08" w:type="dxa"/>
          </w:tcPr>
          <w:p w14:paraId="7FA3C3FE" w14:textId="77777777" w:rsidR="00C97A03" w:rsidRPr="00EC040E" w:rsidRDefault="00C97A03" w:rsidP="00EC040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13" w:type="dxa"/>
          </w:tcPr>
          <w:p w14:paraId="48A2F2DD" w14:textId="77777777" w:rsidR="00C97A03" w:rsidRPr="00EC04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 w:rsidR="00161DC8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EC040E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D511A5" w:rsidRPr="00C97A03" w14:paraId="76E91D8A" w14:textId="77777777" w:rsidTr="00D511A5">
        <w:tc>
          <w:tcPr>
            <w:tcW w:w="2150" w:type="dxa"/>
            <w:vMerge w:val="restart"/>
          </w:tcPr>
          <w:p w14:paraId="32791CEA" w14:textId="77777777" w:rsidR="00D511A5" w:rsidRPr="00D511A5" w:rsidRDefault="00D511A5" w:rsidP="00F0044C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3586" w:type="dxa"/>
          </w:tcPr>
          <w:p w14:paraId="6B5719B1" w14:textId="77777777" w:rsidR="00D511A5" w:rsidRPr="00D511A5" w:rsidRDefault="00D511A5" w:rsidP="007847A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511A5">
              <w:rPr>
                <w:rFonts w:ascii="Times New Roman" w:hAnsi="Times New Roman" w:cs="Times New Roman"/>
                <w:sz w:val="22"/>
                <w:szCs w:val="22"/>
              </w:rPr>
              <w:t xml:space="preserve">Казенные учреждения, бюджетные учреждения, муниципальные автономные учреждения, органы местного самоуправления, </w:t>
            </w:r>
            <w:r w:rsidRPr="00D51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финансируемые из бюджета муниципального образования </w:t>
            </w:r>
            <w:r w:rsidR="00F33CAF">
              <w:rPr>
                <w:rFonts w:ascii="Times New Roman" w:hAnsi="Times New Roman" w:cs="Times New Roman"/>
                <w:sz w:val="22"/>
                <w:szCs w:val="22"/>
              </w:rPr>
              <w:t>Кусинское</w:t>
            </w:r>
            <w:r w:rsidRPr="00D511A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 Киришского муниципального района Ленинградской области, бюджета муниципального образования Киришский муниципальный район Ленинградской области</w:t>
            </w:r>
          </w:p>
        </w:tc>
        <w:tc>
          <w:tcPr>
            <w:tcW w:w="2408" w:type="dxa"/>
            <w:vMerge w:val="restart"/>
          </w:tcPr>
          <w:p w14:paraId="07818F98" w14:textId="77777777" w:rsidR="00D511A5" w:rsidRPr="00D511A5" w:rsidRDefault="005E0969" w:rsidP="005E0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Стратегия социально-экономического развития </w:t>
            </w:r>
            <w:r w:rsidRPr="00C97A03">
              <w:rPr>
                <w:rFonts w:ascii="Times New Roman" w:hAnsi="Times New Roman" w:cs="Times New Roman"/>
                <w:szCs w:val="24"/>
              </w:rPr>
              <w:t xml:space="preserve">муниципального </w:t>
            </w:r>
            <w:r w:rsidRPr="00C97A03">
              <w:rPr>
                <w:rFonts w:ascii="Times New Roman" w:hAnsi="Times New Roman" w:cs="Times New Roman"/>
                <w:szCs w:val="24"/>
              </w:rPr>
              <w:lastRenderedPageBreak/>
              <w:t>образования Киришский муниципальный район Ленингр</w:t>
            </w:r>
            <w:r>
              <w:rPr>
                <w:rFonts w:ascii="Times New Roman" w:hAnsi="Times New Roman" w:cs="Times New Roman"/>
                <w:szCs w:val="24"/>
              </w:rPr>
              <w:t>адской области на 2016-2030 гг.</w:t>
            </w:r>
          </w:p>
        </w:tc>
        <w:tc>
          <w:tcPr>
            <w:tcW w:w="2413" w:type="dxa"/>
          </w:tcPr>
          <w:p w14:paraId="106E6A1A" w14:textId="77777777" w:rsidR="00D511A5" w:rsidRPr="00D511A5" w:rsidRDefault="00D511A5" w:rsidP="00F0044C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lastRenderedPageBreak/>
              <w:t>Развитие социальной инфраструктуры, обеспечивающей потребности населения</w:t>
            </w:r>
          </w:p>
        </w:tc>
      </w:tr>
      <w:tr w:rsidR="00D511A5" w:rsidRPr="00C97A03" w14:paraId="449EA77E" w14:textId="77777777" w:rsidTr="007847AE">
        <w:trPr>
          <w:trHeight w:val="1528"/>
        </w:trPr>
        <w:tc>
          <w:tcPr>
            <w:tcW w:w="2150" w:type="dxa"/>
            <w:vMerge/>
          </w:tcPr>
          <w:p w14:paraId="681F3CE1" w14:textId="77777777" w:rsidR="00D511A5" w:rsidRPr="00D511A5" w:rsidRDefault="00D511A5" w:rsidP="00F004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14:paraId="116F666C" w14:textId="77777777" w:rsidR="00D511A5" w:rsidRPr="00D511A5" w:rsidRDefault="00D511A5" w:rsidP="00F0044C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08" w:type="dxa"/>
            <w:vMerge/>
          </w:tcPr>
          <w:p w14:paraId="79B8F92C" w14:textId="77777777" w:rsidR="00D511A5" w:rsidRPr="00D511A5" w:rsidRDefault="00D511A5" w:rsidP="00F004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483C192D" w14:textId="77777777" w:rsidR="00D511A5" w:rsidRPr="00D511A5" w:rsidRDefault="00D511A5" w:rsidP="00F0044C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>Повышение уровня и качества жизни граждан, нуждающихся в социальной поддержке</w:t>
            </w:r>
          </w:p>
        </w:tc>
      </w:tr>
    </w:tbl>
    <w:p w14:paraId="158C65F1" w14:textId="77777777" w:rsidR="00C97A03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F87DF" w14:textId="77777777" w:rsidR="00E60E89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C040E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40E">
        <w:rPr>
          <w:rFonts w:ascii="Times New Roman" w:hAnsi="Times New Roman" w:cs="Times New Roman"/>
          <w:sz w:val="24"/>
          <w:szCs w:val="24"/>
        </w:rPr>
        <w:t>Оценка в</w:t>
      </w:r>
      <w:r w:rsidRPr="00F0044C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>
        <w:rPr>
          <w:rFonts w:ascii="Times New Roman" w:hAnsi="Times New Roman" w:cs="Times New Roman"/>
          <w:sz w:val="24"/>
          <w:szCs w:val="24"/>
        </w:rPr>
        <w:t>и</w:t>
      </w:r>
      <w:r w:rsidRPr="00F0044C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14:paraId="287C4E21" w14:textId="77777777" w:rsidR="00EC040E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260"/>
        <w:gridCol w:w="1740"/>
        <w:gridCol w:w="2205"/>
      </w:tblGrid>
      <w:tr w:rsidR="00EC040E" w:rsidRPr="00EC040E" w14:paraId="68A5B363" w14:textId="77777777" w:rsidTr="00EC040E">
        <w:tc>
          <w:tcPr>
            <w:tcW w:w="3403" w:type="dxa"/>
          </w:tcPr>
          <w:p w14:paraId="43CE12D7" w14:textId="77777777"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Налоговый расход,</w:t>
            </w:r>
          </w:p>
          <w:p w14:paraId="53B5AD8D" w14:textId="77777777"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которым обусловлена</w:t>
            </w:r>
          </w:p>
          <w:p w14:paraId="7BCFE631" w14:textId="77777777"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налоговая льгота</w:t>
            </w:r>
          </w:p>
        </w:tc>
        <w:tc>
          <w:tcPr>
            <w:tcW w:w="3260" w:type="dxa"/>
          </w:tcPr>
          <w:p w14:paraId="71BEDC2F" w14:textId="77777777"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  <w:p w14:paraId="4211F6FA" w14:textId="77777777" w:rsidR="00EC040E" w:rsidRPr="00EC040E" w:rsidRDefault="00EC040E" w:rsidP="00EC040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14:paraId="463CB10F" w14:textId="77777777"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14:paraId="216156EE" w14:textId="77777777"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Плательщиков (ед.)</w:t>
            </w:r>
          </w:p>
        </w:tc>
        <w:tc>
          <w:tcPr>
            <w:tcW w:w="2205" w:type="dxa"/>
          </w:tcPr>
          <w:p w14:paraId="2E50B111" w14:textId="77777777" w:rsidR="00EC040E" w:rsidRPr="00EC040E" w:rsidRDefault="00EC040E" w:rsidP="00F00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EC040E" w14:paraId="08F0EE3E" w14:textId="77777777" w:rsidTr="003F0331">
        <w:trPr>
          <w:trHeight w:val="3901"/>
        </w:trPr>
        <w:tc>
          <w:tcPr>
            <w:tcW w:w="3403" w:type="dxa"/>
          </w:tcPr>
          <w:p w14:paraId="37DFD17B" w14:textId="77777777" w:rsidR="00EC040E" w:rsidRPr="00EC040E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EC040E">
              <w:rPr>
                <w:rFonts w:ascii="Times New Roman" w:hAnsi="Times New Roman" w:cs="Times New Roman"/>
              </w:rPr>
              <w:t>Освобождаются от налогообложения по земельному налогу</w:t>
            </w:r>
          </w:p>
        </w:tc>
        <w:tc>
          <w:tcPr>
            <w:tcW w:w="3260" w:type="dxa"/>
          </w:tcPr>
          <w:p w14:paraId="20742078" w14:textId="77777777" w:rsidR="007847AE" w:rsidRPr="00EC040E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C97A03">
              <w:rPr>
                <w:rFonts w:ascii="Times New Roman" w:hAnsi="Times New Roman" w:cs="Times New Roman"/>
                <w:szCs w:val="24"/>
              </w:rPr>
              <w:t xml:space="preserve">Казенные учреждения, бюджетные учреждения, муниципальные автономные учреждения, органы местного самоуправления, финансируемые из бюджета муниципального образования </w:t>
            </w:r>
            <w:r w:rsidR="00023664">
              <w:rPr>
                <w:rFonts w:ascii="Times New Roman" w:hAnsi="Times New Roman" w:cs="Times New Roman"/>
                <w:szCs w:val="24"/>
              </w:rPr>
              <w:t>Кусинское</w:t>
            </w:r>
            <w:r w:rsidR="005B6225">
              <w:rPr>
                <w:rFonts w:ascii="Times New Roman" w:hAnsi="Times New Roman" w:cs="Times New Roman"/>
                <w:szCs w:val="24"/>
              </w:rPr>
              <w:t xml:space="preserve"> сельское</w:t>
            </w:r>
            <w:r w:rsidRPr="00C97A03">
              <w:rPr>
                <w:rFonts w:ascii="Times New Roman" w:hAnsi="Times New Roman" w:cs="Times New Roman"/>
                <w:szCs w:val="24"/>
              </w:rPr>
              <w:t xml:space="preserve"> поселение Киришского муниципального района Ленинградской области, бюджета муниципального образования Киришский муниципальный район Ленинградской области</w:t>
            </w:r>
          </w:p>
        </w:tc>
        <w:tc>
          <w:tcPr>
            <w:tcW w:w="1740" w:type="dxa"/>
            <w:shd w:val="clear" w:color="auto" w:fill="FFFFFF" w:themeFill="background1"/>
          </w:tcPr>
          <w:p w14:paraId="220E6BB2" w14:textId="64B16339" w:rsidR="00EC040E" w:rsidRPr="003F0331" w:rsidRDefault="004461F3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05" w:type="dxa"/>
            <w:shd w:val="clear" w:color="auto" w:fill="FFFFFF" w:themeFill="background1"/>
          </w:tcPr>
          <w:p w14:paraId="1E4645D0" w14:textId="0316C4C6" w:rsidR="00EC040E" w:rsidRPr="003F0331" w:rsidRDefault="004461F3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040E" w:rsidRPr="00EC040E" w14:paraId="71A29583" w14:textId="77777777" w:rsidTr="003F0331">
        <w:tc>
          <w:tcPr>
            <w:tcW w:w="3403" w:type="dxa"/>
          </w:tcPr>
          <w:p w14:paraId="1DF08469" w14:textId="77777777" w:rsidR="00EC040E" w:rsidRPr="00EC040E" w:rsidRDefault="00EC040E" w:rsidP="00EC040E">
            <w:pPr>
              <w:jc w:val="both"/>
              <w:rPr>
                <w:rFonts w:ascii="Times New Roman" w:hAnsi="Times New Roman" w:cs="Times New Roman"/>
              </w:rPr>
            </w:pPr>
            <w:r w:rsidRPr="00EC040E">
              <w:rPr>
                <w:rFonts w:ascii="Times New Roman" w:hAnsi="Times New Roman" w:cs="Times New Roman"/>
              </w:rPr>
              <w:t xml:space="preserve">Для физических лиц, имеющих трёх и более несовершеннолетних детей, налоговая база дополнительно уменьшается на величину кадастровой стоимости 600 квадратных метров площади земельного участка, находящегося </w:t>
            </w:r>
          </w:p>
          <w:p w14:paraId="2F14795A" w14:textId="77777777" w:rsidR="00EC040E" w:rsidRPr="00EC040E" w:rsidRDefault="00EC040E" w:rsidP="00EC040E">
            <w:pPr>
              <w:jc w:val="both"/>
              <w:rPr>
                <w:rFonts w:ascii="Times New Roman" w:hAnsi="Times New Roman" w:cs="Times New Roman"/>
              </w:rPr>
            </w:pPr>
            <w:r w:rsidRPr="00EC040E">
              <w:rPr>
                <w:rFonts w:ascii="Times New Roman" w:hAnsi="Times New Roman" w:cs="Times New Roman"/>
              </w:rPr>
              <w:t xml:space="preserve">в собственности, постоянном (бессрочном) пользовании или пожизненном наследуемом владении. При этом общая величина налогового вычета для физических лиц, имеющих трёх и более несовершеннолетних детей, с учетом положений, установленных подпунктом 10 пункта 5 статьи 391 Налогового </w:t>
            </w:r>
            <w:r w:rsidRPr="00EC040E">
              <w:rPr>
                <w:rFonts w:ascii="Times New Roman" w:hAnsi="Times New Roman" w:cs="Times New Roman"/>
              </w:rPr>
              <w:lastRenderedPageBreak/>
              <w:t>кодекса Российской Федерации, составит 1200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(за исключением земельных участков, предназначенных для использования в предпринимательской деятельности)</w:t>
            </w:r>
          </w:p>
        </w:tc>
        <w:tc>
          <w:tcPr>
            <w:tcW w:w="3260" w:type="dxa"/>
          </w:tcPr>
          <w:p w14:paraId="3F8036EE" w14:textId="77777777" w:rsidR="00EC040E" w:rsidRPr="00EC040E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C97A03">
              <w:rPr>
                <w:rFonts w:ascii="Times New Roman" w:hAnsi="Times New Roman" w:cs="Times New Roman"/>
                <w:szCs w:val="24"/>
              </w:rPr>
              <w:lastRenderedPageBreak/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  <w:shd w:val="clear" w:color="auto" w:fill="FFFFFF" w:themeFill="background1"/>
          </w:tcPr>
          <w:p w14:paraId="34C81C02" w14:textId="581AF49B" w:rsidR="00EC040E" w:rsidRPr="003F0331" w:rsidRDefault="00F306EE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61F3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2205" w:type="dxa"/>
            <w:shd w:val="clear" w:color="auto" w:fill="FFFFFF" w:themeFill="background1"/>
          </w:tcPr>
          <w:p w14:paraId="7BE74081" w14:textId="5BBEA6AF" w:rsidR="00EC040E" w:rsidRPr="003F0331" w:rsidRDefault="004461F3" w:rsidP="00920E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</w:tbl>
    <w:p w14:paraId="054EBE27" w14:textId="77777777" w:rsidR="00E60E89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17F83" w14:textId="77777777" w:rsidR="00485FEA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597E9" w14:textId="77777777"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>
        <w:rPr>
          <w:rFonts w:ascii="Times New Roman" w:hAnsi="Times New Roman" w:cs="Times New Roman"/>
          <w:b/>
          <w:sz w:val="24"/>
          <w:szCs w:val="24"/>
        </w:rPr>
        <w:t>ых</w:t>
      </w:r>
      <w:r w:rsidRPr="00EC040E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>
        <w:rPr>
          <w:rFonts w:ascii="Times New Roman" w:hAnsi="Times New Roman" w:cs="Times New Roman"/>
          <w:b/>
          <w:sz w:val="24"/>
          <w:szCs w:val="24"/>
        </w:rPr>
        <w:t>ов</w:t>
      </w:r>
    </w:p>
    <w:p w14:paraId="2C019EE3" w14:textId="77777777" w:rsidR="00861AA0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92AC1" w14:textId="77777777" w:rsidR="00861AA0" w:rsidRPr="00861AA0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Pr="00861AA0">
        <w:rPr>
          <w:rFonts w:ascii="Times New Roman" w:hAnsi="Times New Roman" w:cs="Times New Roman"/>
          <w:b/>
          <w:sz w:val="24"/>
          <w:szCs w:val="24"/>
        </w:rPr>
        <w:t>Оценка вклада налоговой льготы в изменение значения показателя</w:t>
      </w:r>
    </w:p>
    <w:p w14:paraId="0D2A021C" w14:textId="77777777"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(индикатора) достижения целей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AA0">
        <w:rPr>
          <w:rFonts w:ascii="Times New Roman" w:hAnsi="Times New Roman" w:cs="Times New Roman"/>
          <w:b/>
          <w:sz w:val="24"/>
          <w:szCs w:val="24"/>
        </w:rPr>
        <w:t>муниципальной программы и (или) целей социально-экономической политики</w:t>
      </w:r>
    </w:p>
    <w:p w14:paraId="4D4BABFB" w14:textId="77777777" w:rsidR="007A4CAC" w:rsidRPr="007A4CAC" w:rsidRDefault="007A4CAC" w:rsidP="00EB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 w:rsidR="00EB1B36"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Киришский муниципальный район Ленинградской области на 2016-2030 гг.</w:t>
      </w:r>
    </w:p>
    <w:p w14:paraId="6B11938C" w14:textId="77777777"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CC1F45" w14:textId="77777777" w:rsid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14:paraId="2CD862E6" w14:textId="77777777" w:rsidR="007A4CAC" w:rsidRPr="0061628F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628F">
        <w:rPr>
          <w:rFonts w:ascii="Times New Roman" w:hAnsi="Times New Roman" w:cs="Times New Roman"/>
          <w:sz w:val="24"/>
          <w:szCs w:val="24"/>
        </w:rPr>
        <w:t>льтернативны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1628F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ы достижения целей </w:t>
      </w:r>
      <w:r w:rsidRPr="0061628F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23664">
        <w:rPr>
          <w:rFonts w:ascii="Times New Roman" w:hAnsi="Times New Roman" w:cs="Times New Roman"/>
          <w:sz w:val="24"/>
          <w:szCs w:val="24"/>
        </w:rPr>
        <w:t>Кусинское</w:t>
      </w:r>
      <w:r w:rsidR="005B6225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Киришского муниципального района Ленинградской области без применения налоговых расходов отсутствуют. </w:t>
      </w:r>
    </w:p>
    <w:p w14:paraId="1301F0DA" w14:textId="77777777"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92EA59" w14:textId="3035395E" w:rsidR="00EB1183" w:rsidRPr="00EB1183" w:rsidRDefault="00861AA0" w:rsidP="00EB1183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183">
        <w:rPr>
          <w:rFonts w:ascii="Times New Roman" w:hAnsi="Times New Roman" w:cs="Times New Roman"/>
          <w:b/>
          <w:sz w:val="24"/>
          <w:szCs w:val="24"/>
        </w:rPr>
        <w:t>Оценка совокупного бюджетного эффекта налогового расхода</w:t>
      </w:r>
    </w:p>
    <w:p w14:paraId="240E4E58" w14:textId="791213EA" w:rsidR="00861AA0" w:rsidRPr="00EB1183" w:rsidRDefault="00854AA4" w:rsidP="00EB11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183">
        <w:rPr>
          <w:rFonts w:ascii="Times New Roman" w:hAnsi="Times New Roman" w:cs="Times New Roman"/>
          <w:sz w:val="24"/>
          <w:szCs w:val="24"/>
        </w:rPr>
        <w:t>В рамках оценки результативности оценка совокупного бюджетного эффекта проводится только в отношении стимулирующих налоговых расходов.</w:t>
      </w:r>
    </w:p>
    <w:p w14:paraId="53E04F06" w14:textId="77777777" w:rsidR="00854AA4" w:rsidRDefault="00854AA4" w:rsidP="00854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стимулирующим налоговым расходам относятся льготы в</w:t>
      </w:r>
      <w:r w:rsidRPr="00854AA4">
        <w:rPr>
          <w:rFonts w:ascii="Times New Roman" w:hAnsi="Times New Roman" w:cs="Times New Roman"/>
          <w:sz w:val="24"/>
          <w:szCs w:val="24"/>
        </w:rPr>
        <w:t xml:space="preserve"> отношении земельных участков, входящих в состав территории индустр</w:t>
      </w:r>
      <w:r>
        <w:rPr>
          <w:rFonts w:ascii="Times New Roman" w:hAnsi="Times New Roman" w:cs="Times New Roman"/>
          <w:sz w:val="24"/>
          <w:szCs w:val="24"/>
        </w:rPr>
        <w:t>иального (промышленного) парка.</w:t>
      </w:r>
    </w:p>
    <w:p w14:paraId="5F4476D7" w14:textId="77777777" w:rsidR="00854AA4" w:rsidRDefault="00854AA4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FF1E4" w14:textId="77777777" w:rsidR="00861AA0" w:rsidRP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14:paraId="5DB25D0A" w14:textId="7799AA44" w:rsidR="005A3517" w:rsidRDefault="00CB54AC" w:rsidP="005A3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проведенной оценки эффективности налоговые расходы муниципального</w:t>
      </w:r>
      <w:r w:rsidR="005B622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023664">
        <w:rPr>
          <w:rFonts w:ascii="Times New Roman" w:hAnsi="Times New Roman" w:cs="Times New Roman"/>
          <w:sz w:val="24"/>
          <w:szCs w:val="24"/>
        </w:rPr>
        <w:t>Кусинское</w:t>
      </w:r>
      <w:r w:rsidR="005B6225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Киришского муниципального района Ленинградской области </w:t>
      </w:r>
      <w:r w:rsidR="0061628F">
        <w:rPr>
          <w:rFonts w:ascii="Times New Roman" w:hAnsi="Times New Roman" w:cs="Times New Roman"/>
          <w:sz w:val="24"/>
          <w:szCs w:val="24"/>
        </w:rPr>
        <w:t>соответствуют к</w:t>
      </w:r>
      <w:r w:rsidR="0061628F" w:rsidRPr="00485FEA">
        <w:rPr>
          <w:rFonts w:ascii="Times New Roman" w:hAnsi="Times New Roman" w:cs="Times New Roman"/>
          <w:sz w:val="24"/>
          <w:szCs w:val="24"/>
        </w:rPr>
        <w:t>ритериям</w:t>
      </w:r>
      <w:r w:rsidR="0061628F">
        <w:rPr>
          <w:rFonts w:ascii="Times New Roman" w:hAnsi="Times New Roman" w:cs="Times New Roman"/>
          <w:sz w:val="24"/>
          <w:szCs w:val="24"/>
        </w:rPr>
        <w:t xml:space="preserve"> </w:t>
      </w:r>
      <w:r w:rsidR="0061628F" w:rsidRPr="00485FEA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766D9F">
        <w:rPr>
          <w:rFonts w:ascii="Times New Roman" w:hAnsi="Times New Roman" w:cs="Times New Roman"/>
          <w:sz w:val="24"/>
          <w:szCs w:val="24"/>
        </w:rPr>
        <w:t>,</w:t>
      </w:r>
      <w:r w:rsidR="00616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 эффективными и подлежат сохранению и применению в 202</w:t>
      </w:r>
      <w:r w:rsidR="00646A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p w14:paraId="1EA8209A" w14:textId="77777777" w:rsidR="0053139F" w:rsidRDefault="00023664" w:rsidP="005A3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770DD" w14:textId="77777777" w:rsidR="0053139F" w:rsidRDefault="005B6225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</w:t>
      </w:r>
      <w:r w:rsidR="000236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23664">
        <w:rPr>
          <w:rFonts w:ascii="Times New Roman" w:hAnsi="Times New Roman" w:cs="Times New Roman"/>
          <w:sz w:val="24"/>
          <w:szCs w:val="24"/>
        </w:rPr>
        <w:t>Е. В. Стаховская</w:t>
      </w:r>
    </w:p>
    <w:p w14:paraId="59B19B9C" w14:textId="77777777"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B9AE6" w14:textId="77777777"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</w:t>
      </w:r>
    </w:p>
    <w:p w14:paraId="0B621A43" w14:textId="6F0EE1EF" w:rsidR="0053139F" w:rsidRPr="00485FEA" w:rsidRDefault="00D511A5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специалист-главный бухгалтер                                                    </w:t>
      </w:r>
      <w:r w:rsidR="004461F3">
        <w:rPr>
          <w:rFonts w:ascii="Times New Roman" w:hAnsi="Times New Roman" w:cs="Times New Roman"/>
          <w:sz w:val="24"/>
          <w:szCs w:val="24"/>
        </w:rPr>
        <w:t>Д.С. Богданова</w:t>
      </w:r>
    </w:p>
    <w:sectPr w:rsidR="0053139F" w:rsidRPr="00485FEA" w:rsidSect="00EB11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C780C"/>
    <w:multiLevelType w:val="multilevel"/>
    <w:tmpl w:val="F766C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267658567">
    <w:abstractNumId w:val="1"/>
  </w:num>
  <w:num w:numId="2" w16cid:durableId="83796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0CD"/>
    <w:rsid w:val="000221F9"/>
    <w:rsid w:val="00023664"/>
    <w:rsid w:val="000E45D7"/>
    <w:rsid w:val="000F0786"/>
    <w:rsid w:val="00124D1E"/>
    <w:rsid w:val="001279C0"/>
    <w:rsid w:val="00161B74"/>
    <w:rsid w:val="00161DC8"/>
    <w:rsid w:val="00191F36"/>
    <w:rsid w:val="001A6C45"/>
    <w:rsid w:val="002304CA"/>
    <w:rsid w:val="00235954"/>
    <w:rsid w:val="002B5D9A"/>
    <w:rsid w:val="003E2365"/>
    <w:rsid w:val="003E29D9"/>
    <w:rsid w:val="003F0331"/>
    <w:rsid w:val="004461F3"/>
    <w:rsid w:val="00485FEA"/>
    <w:rsid w:val="00497CF7"/>
    <w:rsid w:val="004B58B6"/>
    <w:rsid w:val="004C7D6E"/>
    <w:rsid w:val="004D4B4F"/>
    <w:rsid w:val="004E03E2"/>
    <w:rsid w:val="004F37B8"/>
    <w:rsid w:val="00507762"/>
    <w:rsid w:val="005243B3"/>
    <w:rsid w:val="0053139F"/>
    <w:rsid w:val="0055423A"/>
    <w:rsid w:val="00555092"/>
    <w:rsid w:val="00555DCF"/>
    <w:rsid w:val="005A3517"/>
    <w:rsid w:val="005B6225"/>
    <w:rsid w:val="005E0969"/>
    <w:rsid w:val="005F1607"/>
    <w:rsid w:val="0061628F"/>
    <w:rsid w:val="00646AA4"/>
    <w:rsid w:val="006523FD"/>
    <w:rsid w:val="006F6E55"/>
    <w:rsid w:val="00766D9F"/>
    <w:rsid w:val="00783316"/>
    <w:rsid w:val="007847AE"/>
    <w:rsid w:val="007A2434"/>
    <w:rsid w:val="007A4CAC"/>
    <w:rsid w:val="007C4648"/>
    <w:rsid w:val="007E3C2A"/>
    <w:rsid w:val="00823879"/>
    <w:rsid w:val="0084522D"/>
    <w:rsid w:val="00845EED"/>
    <w:rsid w:val="00854AA4"/>
    <w:rsid w:val="00861AA0"/>
    <w:rsid w:val="00867273"/>
    <w:rsid w:val="008822DD"/>
    <w:rsid w:val="008D289B"/>
    <w:rsid w:val="00920E4B"/>
    <w:rsid w:val="009350CD"/>
    <w:rsid w:val="00947873"/>
    <w:rsid w:val="00A529E5"/>
    <w:rsid w:val="00A7449F"/>
    <w:rsid w:val="00AF5CA0"/>
    <w:rsid w:val="00AF75C8"/>
    <w:rsid w:val="00B75617"/>
    <w:rsid w:val="00BE50F8"/>
    <w:rsid w:val="00C0639A"/>
    <w:rsid w:val="00C273CD"/>
    <w:rsid w:val="00C304A6"/>
    <w:rsid w:val="00C53997"/>
    <w:rsid w:val="00C76BB9"/>
    <w:rsid w:val="00C84BA2"/>
    <w:rsid w:val="00C84BE4"/>
    <w:rsid w:val="00C95A06"/>
    <w:rsid w:val="00C97425"/>
    <w:rsid w:val="00C97A03"/>
    <w:rsid w:val="00CB54AC"/>
    <w:rsid w:val="00D511A5"/>
    <w:rsid w:val="00D71E8B"/>
    <w:rsid w:val="00D8410B"/>
    <w:rsid w:val="00D94B64"/>
    <w:rsid w:val="00E22633"/>
    <w:rsid w:val="00E267A4"/>
    <w:rsid w:val="00E57F08"/>
    <w:rsid w:val="00E60E89"/>
    <w:rsid w:val="00EB1183"/>
    <w:rsid w:val="00EB1B36"/>
    <w:rsid w:val="00EC040E"/>
    <w:rsid w:val="00EF2059"/>
    <w:rsid w:val="00F0044C"/>
    <w:rsid w:val="00F26AF8"/>
    <w:rsid w:val="00F306EE"/>
    <w:rsid w:val="00F33CAF"/>
    <w:rsid w:val="00F51018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F234"/>
  <w15:docId w15:val="{F7FD3EAB-429A-4AF2-915C-98840C10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D511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Kysino Kysino</cp:lastModifiedBy>
  <cp:revision>7</cp:revision>
  <cp:lastPrinted>2023-04-27T05:40:00Z</cp:lastPrinted>
  <dcterms:created xsi:type="dcterms:W3CDTF">2023-04-26T13:54:00Z</dcterms:created>
  <dcterms:modified xsi:type="dcterms:W3CDTF">2024-06-24T12:16:00Z</dcterms:modified>
</cp:coreProperties>
</file>